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F9" w:rsidRPr="00C35468" w:rsidRDefault="00411FF9" w:rsidP="00411FF9">
      <w:pPr>
        <w:jc w:val="right"/>
        <w:rPr>
          <w:rFonts w:cstheme="minorHAnsi"/>
          <w:b/>
          <w:lang w:val="en-GB"/>
        </w:rPr>
      </w:pPr>
      <w:bookmarkStart w:id="0" w:name="_GoBack"/>
      <w:bookmarkEnd w:id="0"/>
    </w:p>
    <w:p w:rsidR="00411FF9" w:rsidRPr="00C35468" w:rsidRDefault="002C4B04" w:rsidP="00411FF9">
      <w:pPr>
        <w:rPr>
          <w:rFonts w:cstheme="minorHAnsi"/>
          <w:b/>
          <w:lang w:val="en-GB"/>
        </w:rPr>
      </w:pPr>
      <w:r w:rsidRPr="00C35468">
        <w:rPr>
          <w:rFonts w:cstheme="minorHAnsi"/>
          <w:b/>
          <w:lang w:val="en-GB"/>
        </w:rPr>
        <w:t>Guidelines for internal meeting</w:t>
      </w:r>
      <w:r w:rsidR="00C35468" w:rsidRPr="00C35468">
        <w:rPr>
          <w:rFonts w:cstheme="minorHAnsi"/>
          <w:b/>
          <w:lang w:val="en-GB"/>
        </w:rPr>
        <w:t>s,</w:t>
      </w:r>
      <w:r w:rsidRPr="00C35468">
        <w:rPr>
          <w:rFonts w:cstheme="minorHAnsi"/>
          <w:b/>
          <w:lang w:val="en-GB"/>
        </w:rPr>
        <w:t xml:space="preserve"> </w:t>
      </w:r>
      <w:r w:rsidR="00C35468" w:rsidRPr="00C35468">
        <w:rPr>
          <w:rFonts w:cstheme="minorHAnsi"/>
          <w:b/>
          <w:lang w:val="en-GB"/>
        </w:rPr>
        <w:t>expenses for representation</w:t>
      </w:r>
      <w:r w:rsidRPr="00C35468">
        <w:rPr>
          <w:rFonts w:cstheme="minorHAnsi"/>
          <w:b/>
          <w:lang w:val="en-GB"/>
        </w:rPr>
        <w:t xml:space="preserve">, receptions and academic </w:t>
      </w:r>
      <w:r w:rsidR="00C35468" w:rsidRPr="00C35468">
        <w:rPr>
          <w:rFonts w:cstheme="minorHAnsi"/>
          <w:b/>
          <w:lang w:val="en-GB"/>
        </w:rPr>
        <w:t>arrangements</w:t>
      </w:r>
      <w:r w:rsidRPr="00C35468">
        <w:rPr>
          <w:rFonts w:cstheme="minorHAnsi"/>
          <w:b/>
          <w:lang w:val="en-GB"/>
        </w:rPr>
        <w:t xml:space="preserve"> at </w:t>
      </w:r>
      <w:r w:rsidR="00410629">
        <w:rPr>
          <w:rFonts w:cstheme="minorHAnsi"/>
          <w:b/>
          <w:lang w:val="en-GB"/>
        </w:rPr>
        <w:t>the Department of Dentistry and Oral Health, IOOS, AU</w:t>
      </w:r>
    </w:p>
    <w:p w:rsidR="00411FF9" w:rsidRPr="00C35468" w:rsidRDefault="00411FF9" w:rsidP="00411FF9">
      <w:pPr>
        <w:jc w:val="right"/>
        <w:rPr>
          <w:rFonts w:cstheme="minorHAnsi"/>
          <w:b/>
          <w:lang w:val="en-GB"/>
        </w:rPr>
      </w:pPr>
      <w:r w:rsidRPr="00C35468">
        <w:rPr>
          <w:rFonts w:cstheme="minorHAnsi"/>
          <w:b/>
          <w:lang w:val="en-GB"/>
        </w:rPr>
        <w:tab/>
      </w:r>
      <w:r w:rsidRPr="00C35468">
        <w:rPr>
          <w:rFonts w:cstheme="minorHAnsi"/>
          <w:b/>
          <w:lang w:val="en-GB"/>
        </w:rPr>
        <w:tab/>
      </w:r>
      <w:r w:rsidRPr="00C35468">
        <w:rPr>
          <w:rFonts w:cstheme="minorHAnsi"/>
          <w:lang w:val="en-GB"/>
        </w:rPr>
        <w:t xml:space="preserve">Økonomi/HR </w:t>
      </w:r>
      <w:r w:rsidR="002C4B04" w:rsidRPr="00C35468">
        <w:rPr>
          <w:rFonts w:cstheme="minorHAnsi"/>
          <w:lang w:val="en-GB"/>
        </w:rPr>
        <w:t>November 28,</w:t>
      </w:r>
      <w:r w:rsidRPr="00C35468">
        <w:rPr>
          <w:rFonts w:cstheme="minorHAnsi"/>
          <w:lang w:val="en-GB"/>
        </w:rPr>
        <w:t xml:space="preserve"> 2019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17"/>
        <w:gridCol w:w="10268"/>
      </w:tblGrid>
      <w:tr w:rsidR="00411FF9" w:rsidRPr="00C35468" w:rsidTr="00C859FA">
        <w:trPr>
          <w:trHeight w:val="862"/>
        </w:trPr>
        <w:tc>
          <w:tcPr>
            <w:tcW w:w="3317" w:type="dxa"/>
          </w:tcPr>
          <w:p w:rsidR="00411FF9" w:rsidRPr="00C35468" w:rsidRDefault="002C4B04" w:rsidP="00C859FA">
            <w:pPr>
              <w:rPr>
                <w:rFonts w:cstheme="minorHAnsi"/>
                <w:b/>
                <w:lang w:val="en-GB"/>
              </w:rPr>
            </w:pPr>
            <w:r w:rsidRPr="00C35468">
              <w:rPr>
                <w:rFonts w:cstheme="minorHAnsi"/>
                <w:b/>
                <w:lang w:val="en-GB"/>
              </w:rPr>
              <w:t>Internal meetings</w:t>
            </w:r>
          </w:p>
          <w:p w:rsidR="00411FF9" w:rsidRPr="00C35468" w:rsidRDefault="00411FF9" w:rsidP="00C859FA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0268" w:type="dxa"/>
          </w:tcPr>
          <w:p w:rsidR="00411FF9" w:rsidRPr="00C35468" w:rsidRDefault="0079536A" w:rsidP="0079536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There can be no </w:t>
            </w:r>
            <w:r w:rsidR="002C4B04" w:rsidRPr="00C35468">
              <w:rPr>
                <w:rFonts w:cstheme="minorHAnsi"/>
                <w:lang w:val="en-GB"/>
              </w:rPr>
              <w:t>exp</w:t>
            </w:r>
            <w:r w:rsidR="00171EB8" w:rsidRPr="00C35468">
              <w:rPr>
                <w:rFonts w:cstheme="minorHAnsi"/>
                <w:lang w:val="en-GB"/>
              </w:rPr>
              <w:t>enses for food and certain beverages (with the exception o</w:t>
            </w:r>
            <w:r>
              <w:rPr>
                <w:rFonts w:cstheme="minorHAnsi"/>
                <w:lang w:val="en-GB"/>
              </w:rPr>
              <w:t>f</w:t>
            </w:r>
            <w:r w:rsidR="00171EB8" w:rsidRPr="00C35468">
              <w:rPr>
                <w:rFonts w:cstheme="minorHAnsi"/>
                <w:lang w:val="en-GB"/>
              </w:rPr>
              <w:t xml:space="preserve"> water, </w:t>
            </w:r>
            <w:r w:rsidR="00410629" w:rsidRPr="00C35468">
              <w:rPr>
                <w:rFonts w:cstheme="minorHAnsi"/>
                <w:lang w:val="en-GB"/>
              </w:rPr>
              <w:t>coffee</w:t>
            </w:r>
            <w:r w:rsidR="00171EB8" w:rsidRPr="00C35468">
              <w:rPr>
                <w:rFonts w:cstheme="minorHAnsi"/>
                <w:lang w:val="en-GB"/>
              </w:rPr>
              <w:t xml:space="preserve">/tee) </w:t>
            </w:r>
            <w:r>
              <w:rPr>
                <w:rFonts w:cstheme="minorHAnsi"/>
                <w:lang w:val="en-GB"/>
              </w:rPr>
              <w:t>in connection with</w:t>
            </w:r>
            <w:r w:rsidR="00171EB8" w:rsidRPr="00C35468">
              <w:rPr>
                <w:rFonts w:cstheme="minorHAnsi"/>
                <w:lang w:val="en-GB"/>
              </w:rPr>
              <w:t xml:space="preserve"> internal me</w:t>
            </w:r>
            <w:r>
              <w:rPr>
                <w:rFonts w:cstheme="minorHAnsi"/>
                <w:lang w:val="en-GB"/>
              </w:rPr>
              <w:t>etings, for example department</w:t>
            </w:r>
            <w:r w:rsidR="00171EB8" w:rsidRPr="00C35468">
              <w:rPr>
                <w:rFonts w:cstheme="minorHAnsi"/>
                <w:lang w:val="en-GB"/>
              </w:rPr>
              <w:t xml:space="preserve"> meetings, </w:t>
            </w:r>
            <w:r>
              <w:rPr>
                <w:rFonts w:cstheme="minorHAnsi"/>
                <w:lang w:val="en-GB"/>
              </w:rPr>
              <w:t>section meetings, team</w:t>
            </w:r>
            <w:r w:rsidR="00171EB8" w:rsidRPr="00C35468">
              <w:rPr>
                <w:rFonts w:cstheme="minorHAnsi"/>
                <w:lang w:val="en-GB"/>
              </w:rPr>
              <w:t xml:space="preserve"> meeting</w:t>
            </w:r>
            <w:r w:rsidR="008C023E" w:rsidRPr="00C35468">
              <w:rPr>
                <w:rFonts w:cstheme="minorHAnsi"/>
                <w:lang w:val="en-GB"/>
              </w:rPr>
              <w:t>s</w:t>
            </w:r>
            <w:r w:rsidR="00171EB8" w:rsidRPr="00C35468">
              <w:rPr>
                <w:rFonts w:cstheme="minorHAnsi"/>
                <w:lang w:val="en-GB"/>
              </w:rPr>
              <w:t>, workgroup meeting</w:t>
            </w:r>
            <w:r w:rsidR="008C023E" w:rsidRPr="00C35468">
              <w:rPr>
                <w:rFonts w:cstheme="minorHAnsi"/>
                <w:lang w:val="en-GB"/>
              </w:rPr>
              <w:t>s</w:t>
            </w:r>
            <w:r w:rsidR="00171EB8" w:rsidRPr="00C35468">
              <w:rPr>
                <w:rFonts w:cstheme="minorHAnsi"/>
                <w:lang w:val="en-GB"/>
              </w:rPr>
              <w:t xml:space="preserve">, </w:t>
            </w:r>
            <w:r w:rsidR="008C023E" w:rsidRPr="00C35468">
              <w:rPr>
                <w:rFonts w:cstheme="minorHAnsi"/>
                <w:lang w:val="en-GB"/>
              </w:rPr>
              <w:t>project group</w:t>
            </w:r>
            <w:r w:rsidR="00171EB8" w:rsidRPr="00C35468">
              <w:rPr>
                <w:rFonts w:cstheme="minorHAnsi"/>
                <w:lang w:val="en-GB"/>
              </w:rPr>
              <w:t xml:space="preserve"> meetings </w:t>
            </w:r>
            <w:r w:rsidR="008C023E" w:rsidRPr="00C35468">
              <w:rPr>
                <w:rFonts w:cstheme="minorHAnsi"/>
                <w:lang w:val="en-GB"/>
              </w:rPr>
              <w:t>and the like.</w:t>
            </w:r>
            <w:r w:rsidR="00171EB8" w:rsidRPr="00C35468">
              <w:rPr>
                <w:rFonts w:cstheme="minorHAnsi"/>
                <w:lang w:val="en-GB"/>
              </w:rPr>
              <w:t xml:space="preserve"> </w:t>
            </w:r>
          </w:p>
        </w:tc>
      </w:tr>
      <w:tr w:rsidR="00411FF9" w:rsidRPr="00C35468" w:rsidTr="00C859FA">
        <w:trPr>
          <w:trHeight w:val="1266"/>
        </w:trPr>
        <w:tc>
          <w:tcPr>
            <w:tcW w:w="3317" w:type="dxa"/>
          </w:tcPr>
          <w:p w:rsidR="00411FF9" w:rsidRPr="00C35468" w:rsidRDefault="008D1256" w:rsidP="0079536A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R</w:t>
            </w:r>
            <w:r w:rsidR="0079536A">
              <w:rPr>
                <w:rFonts w:cstheme="minorHAnsi"/>
                <w:b/>
                <w:lang w:val="en-GB"/>
              </w:rPr>
              <w:t>epresentation</w:t>
            </w:r>
            <w:r>
              <w:rPr>
                <w:rFonts w:cstheme="minorHAnsi"/>
                <w:b/>
                <w:lang w:val="en-GB"/>
              </w:rPr>
              <w:t xml:space="preserve"> expenses</w:t>
            </w:r>
          </w:p>
        </w:tc>
        <w:tc>
          <w:tcPr>
            <w:tcW w:w="10268" w:type="dxa"/>
          </w:tcPr>
          <w:p w:rsidR="008C023E" w:rsidRPr="00C35468" w:rsidRDefault="008D1256" w:rsidP="00C859F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Representation e</w:t>
            </w:r>
            <w:r w:rsidR="0079536A">
              <w:rPr>
                <w:rFonts w:cstheme="minorHAnsi"/>
                <w:lang w:val="en-GB"/>
              </w:rPr>
              <w:t>xpenses</w:t>
            </w:r>
            <w:r>
              <w:rPr>
                <w:rFonts w:cstheme="minorHAnsi"/>
                <w:lang w:val="en-GB"/>
              </w:rPr>
              <w:t xml:space="preserve"> </w:t>
            </w:r>
            <w:r w:rsidR="008C023E" w:rsidRPr="00C35468">
              <w:rPr>
                <w:rFonts w:cstheme="minorHAnsi"/>
                <w:lang w:val="en-GB"/>
              </w:rPr>
              <w:t xml:space="preserve">with external participants </w:t>
            </w:r>
            <w:proofErr w:type="gramStart"/>
            <w:r w:rsidR="008C023E" w:rsidRPr="00C35468">
              <w:rPr>
                <w:rFonts w:cstheme="minorHAnsi"/>
                <w:lang w:val="en-GB"/>
              </w:rPr>
              <w:t>is permitted</w:t>
            </w:r>
            <w:proofErr w:type="gramEnd"/>
            <w:r w:rsidR="008C023E" w:rsidRPr="00C35468">
              <w:rPr>
                <w:rFonts w:cstheme="minorHAnsi"/>
                <w:lang w:val="en-GB"/>
              </w:rPr>
              <w:t xml:space="preserve"> to a limited extent and </w:t>
            </w:r>
            <w:r w:rsidR="000A4321">
              <w:rPr>
                <w:rFonts w:cstheme="minorHAnsi"/>
                <w:lang w:val="en-GB"/>
              </w:rPr>
              <w:t>only</w:t>
            </w:r>
            <w:r w:rsidR="008C023E" w:rsidRPr="00C35468">
              <w:rPr>
                <w:rFonts w:cstheme="minorHAnsi"/>
                <w:lang w:val="en-GB"/>
              </w:rPr>
              <w:t xml:space="preserve"> on</w:t>
            </w:r>
            <w:r w:rsidR="00265A1F" w:rsidRPr="00C35468">
              <w:rPr>
                <w:rFonts w:cstheme="minorHAnsi"/>
                <w:lang w:val="en-GB"/>
              </w:rPr>
              <w:t>e</w:t>
            </w:r>
            <w:r w:rsidR="008C023E" w:rsidRPr="00C35468">
              <w:rPr>
                <w:rFonts w:cstheme="minorHAnsi"/>
                <w:lang w:val="en-GB"/>
              </w:rPr>
              <w:t xml:space="preserve"> participant from IOOS is permitted. </w:t>
            </w:r>
            <w:r w:rsidR="00265A1F" w:rsidRPr="00C35468">
              <w:rPr>
                <w:rFonts w:cstheme="minorHAnsi"/>
                <w:lang w:val="en-GB"/>
              </w:rPr>
              <w:t>This participant must be a</w:t>
            </w:r>
            <w:r w:rsidR="0052237B">
              <w:rPr>
                <w:rFonts w:cstheme="minorHAnsi"/>
                <w:lang w:val="en-GB"/>
              </w:rPr>
              <w:t xml:space="preserve"> person of academic relevance</w:t>
            </w:r>
            <w:r w:rsidR="00265A1F" w:rsidRPr="00C35468">
              <w:rPr>
                <w:rFonts w:cstheme="minorHAnsi"/>
                <w:lang w:val="en-GB"/>
              </w:rPr>
              <w:t>.</w:t>
            </w:r>
          </w:p>
          <w:p w:rsidR="00265A1F" w:rsidRPr="00C35468" w:rsidRDefault="00265A1F" w:rsidP="00C859FA">
            <w:pPr>
              <w:rPr>
                <w:rFonts w:cstheme="minorHAnsi"/>
                <w:lang w:val="en-GB"/>
              </w:rPr>
            </w:pPr>
          </w:p>
          <w:p w:rsidR="004C6809" w:rsidRPr="00C35468" w:rsidRDefault="00265A1F" w:rsidP="00C859FA">
            <w:pPr>
              <w:rPr>
                <w:rFonts w:cstheme="minorHAnsi"/>
                <w:lang w:val="en-GB"/>
              </w:rPr>
            </w:pPr>
            <w:r w:rsidRPr="00C35468">
              <w:rPr>
                <w:rFonts w:cstheme="minorHAnsi"/>
                <w:lang w:val="en-GB"/>
              </w:rPr>
              <w:t xml:space="preserve">If </w:t>
            </w:r>
            <w:r w:rsidR="000A4321">
              <w:rPr>
                <w:rFonts w:cstheme="minorHAnsi"/>
                <w:lang w:val="en-GB"/>
              </w:rPr>
              <w:t>as an exception,</w:t>
            </w:r>
            <w:r w:rsidRPr="00C35468">
              <w:rPr>
                <w:rFonts w:cstheme="minorHAnsi"/>
                <w:lang w:val="en-GB"/>
              </w:rPr>
              <w:t xml:space="preserve"> it is necessary with more than one </w:t>
            </w:r>
            <w:r w:rsidR="0052237B">
              <w:rPr>
                <w:rFonts w:cstheme="minorHAnsi"/>
                <w:lang w:val="en-GB"/>
              </w:rPr>
              <w:t>person of academic relevance</w:t>
            </w:r>
            <w:r w:rsidRPr="00C35468">
              <w:rPr>
                <w:rFonts w:cstheme="minorHAnsi"/>
                <w:lang w:val="en-GB"/>
              </w:rPr>
              <w:t xml:space="preserve"> this </w:t>
            </w:r>
            <w:proofErr w:type="gramStart"/>
            <w:r w:rsidRPr="00C35468">
              <w:rPr>
                <w:rFonts w:cstheme="minorHAnsi"/>
                <w:lang w:val="en-GB"/>
              </w:rPr>
              <w:t>must be approved</w:t>
            </w:r>
            <w:proofErr w:type="gramEnd"/>
            <w:r w:rsidRPr="00C35468">
              <w:rPr>
                <w:rFonts w:cstheme="minorHAnsi"/>
                <w:lang w:val="en-GB"/>
              </w:rPr>
              <w:t xml:space="preserve"> by the head of department</w:t>
            </w:r>
            <w:r w:rsidR="002C336B">
              <w:rPr>
                <w:rFonts w:cstheme="minorHAnsi"/>
                <w:lang w:val="en-GB"/>
              </w:rPr>
              <w:t xml:space="preserve"> beforehand</w:t>
            </w:r>
            <w:r w:rsidRPr="00C35468">
              <w:rPr>
                <w:rFonts w:cstheme="minorHAnsi"/>
                <w:lang w:val="en-GB"/>
              </w:rPr>
              <w:t xml:space="preserve">. This applies for </w:t>
            </w:r>
            <w:r w:rsidR="004C6809" w:rsidRPr="00C35468">
              <w:rPr>
                <w:rFonts w:cstheme="minorHAnsi"/>
                <w:lang w:val="en-GB"/>
              </w:rPr>
              <w:t xml:space="preserve">dinners for guest lecturers, </w:t>
            </w:r>
            <w:r w:rsidR="002C336B" w:rsidRPr="00C35468">
              <w:rPr>
                <w:rFonts w:cstheme="minorHAnsi"/>
                <w:lang w:val="en-GB"/>
              </w:rPr>
              <w:t>honorary</w:t>
            </w:r>
            <w:r w:rsidR="004C6809" w:rsidRPr="00C35468">
              <w:rPr>
                <w:rFonts w:cstheme="minorHAnsi"/>
                <w:lang w:val="en-GB"/>
              </w:rPr>
              <w:t xml:space="preserve"> doctors and the </w:t>
            </w:r>
            <w:r w:rsidR="001D2BCA">
              <w:rPr>
                <w:rFonts w:cstheme="minorHAnsi"/>
                <w:lang w:val="en-GB"/>
              </w:rPr>
              <w:t xml:space="preserve">completion </w:t>
            </w:r>
            <w:r w:rsidR="004C6809" w:rsidRPr="00C35468">
              <w:rPr>
                <w:rFonts w:cstheme="minorHAnsi"/>
                <w:lang w:val="en-GB"/>
              </w:rPr>
              <w:t>of large</w:t>
            </w:r>
            <w:r w:rsidR="002C336B">
              <w:rPr>
                <w:rFonts w:cstheme="minorHAnsi"/>
                <w:lang w:val="en-GB"/>
              </w:rPr>
              <w:t>r</w:t>
            </w:r>
            <w:r w:rsidR="004C6809" w:rsidRPr="00C35468">
              <w:rPr>
                <w:rFonts w:cstheme="minorHAnsi"/>
                <w:lang w:val="en-GB"/>
              </w:rPr>
              <w:t xml:space="preserve"> </w:t>
            </w:r>
            <w:r w:rsidR="002C336B">
              <w:rPr>
                <w:rFonts w:cstheme="minorHAnsi"/>
                <w:lang w:val="en-GB"/>
              </w:rPr>
              <w:t>c</w:t>
            </w:r>
            <w:r w:rsidR="004C6809" w:rsidRPr="00C35468">
              <w:rPr>
                <w:rFonts w:cstheme="minorHAnsi"/>
                <w:lang w:val="en-GB"/>
              </w:rPr>
              <w:t>ommittee work, including assessment committee.</w:t>
            </w:r>
          </w:p>
          <w:p w:rsidR="004C6809" w:rsidRPr="00C35468" w:rsidRDefault="004C6809" w:rsidP="00C859FA">
            <w:pPr>
              <w:rPr>
                <w:rFonts w:cstheme="minorHAnsi"/>
                <w:lang w:val="en-GB"/>
              </w:rPr>
            </w:pPr>
          </w:p>
          <w:p w:rsidR="004C6809" w:rsidRPr="00C35468" w:rsidRDefault="00727B02" w:rsidP="00C859FA">
            <w:pPr>
              <w:rPr>
                <w:rFonts w:cstheme="minorHAnsi"/>
                <w:lang w:val="en-GB"/>
              </w:rPr>
            </w:pPr>
            <w:r w:rsidRPr="00C35468">
              <w:rPr>
                <w:rFonts w:cstheme="minorHAnsi"/>
                <w:lang w:val="en-GB"/>
              </w:rPr>
              <w:t>Expenses</w:t>
            </w:r>
            <w:r w:rsidR="004C6809" w:rsidRPr="00C35468">
              <w:rPr>
                <w:rFonts w:cstheme="minorHAnsi"/>
                <w:lang w:val="en-GB"/>
              </w:rPr>
              <w:t xml:space="preserve"> </w:t>
            </w:r>
            <w:r w:rsidR="002C336B">
              <w:rPr>
                <w:rFonts w:cstheme="minorHAnsi"/>
                <w:lang w:val="en-GB"/>
              </w:rPr>
              <w:t xml:space="preserve">for wine and beer </w:t>
            </w:r>
            <w:proofErr w:type="gramStart"/>
            <w:r w:rsidR="00D941B0">
              <w:rPr>
                <w:rFonts w:cstheme="minorHAnsi"/>
                <w:lang w:val="en-GB"/>
              </w:rPr>
              <w:t>must</w:t>
            </w:r>
            <w:r w:rsidR="002C336B">
              <w:rPr>
                <w:rFonts w:cstheme="minorHAnsi"/>
                <w:lang w:val="en-GB"/>
              </w:rPr>
              <w:t xml:space="preserve"> be ke</w:t>
            </w:r>
            <w:r w:rsidR="004C6809" w:rsidRPr="00C35468">
              <w:rPr>
                <w:rFonts w:cstheme="minorHAnsi"/>
                <w:lang w:val="en-GB"/>
              </w:rPr>
              <w:t>pt</w:t>
            </w:r>
            <w:proofErr w:type="gramEnd"/>
            <w:r w:rsidR="004C6809" w:rsidRPr="00C35468">
              <w:rPr>
                <w:rFonts w:cstheme="minorHAnsi"/>
                <w:lang w:val="en-GB"/>
              </w:rPr>
              <w:t xml:space="preserve"> at an absolute minimum. </w:t>
            </w:r>
            <w:r w:rsidR="002C336B">
              <w:rPr>
                <w:rFonts w:cstheme="minorHAnsi"/>
                <w:lang w:val="en-GB"/>
              </w:rPr>
              <w:t>Expenses</w:t>
            </w:r>
            <w:r w:rsidR="004C6809" w:rsidRPr="00C35468">
              <w:rPr>
                <w:rFonts w:cstheme="minorHAnsi"/>
                <w:lang w:val="en-GB"/>
              </w:rPr>
              <w:t xml:space="preserve"> for spirits</w:t>
            </w:r>
            <w:r w:rsidR="002C336B">
              <w:rPr>
                <w:rFonts w:cstheme="minorHAnsi"/>
                <w:lang w:val="en-GB"/>
              </w:rPr>
              <w:t xml:space="preserve"> </w:t>
            </w:r>
            <w:proofErr w:type="gramStart"/>
            <w:r w:rsidR="002C336B">
              <w:rPr>
                <w:rFonts w:cstheme="minorHAnsi"/>
                <w:lang w:val="en-GB"/>
              </w:rPr>
              <w:t xml:space="preserve">is not </w:t>
            </w:r>
            <w:r w:rsidR="00D941B0">
              <w:rPr>
                <w:rFonts w:cstheme="minorHAnsi"/>
                <w:lang w:val="en-GB"/>
              </w:rPr>
              <w:t>permitted</w:t>
            </w:r>
            <w:proofErr w:type="gramEnd"/>
            <w:r w:rsidR="004C6809" w:rsidRPr="00C35468">
              <w:rPr>
                <w:rFonts w:cstheme="minorHAnsi"/>
                <w:lang w:val="en-GB"/>
              </w:rPr>
              <w:t>.</w:t>
            </w:r>
          </w:p>
          <w:p w:rsidR="002C336B" w:rsidRDefault="002C336B" w:rsidP="00C859FA">
            <w:pPr>
              <w:rPr>
                <w:rFonts w:cstheme="minorHAnsi"/>
                <w:lang w:val="en-GB"/>
              </w:rPr>
            </w:pPr>
          </w:p>
          <w:p w:rsidR="00624500" w:rsidRPr="00C35468" w:rsidRDefault="000F5FFA" w:rsidP="00C859F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When approving </w:t>
            </w:r>
            <w:r w:rsidR="008D1256">
              <w:rPr>
                <w:rFonts w:cstheme="minorHAnsi"/>
                <w:lang w:val="en-GB"/>
              </w:rPr>
              <w:t>representation expenses</w:t>
            </w:r>
            <w:r w:rsidR="002C336B" w:rsidRPr="00C35468">
              <w:rPr>
                <w:rFonts w:cstheme="minorHAnsi"/>
                <w:lang w:val="en-GB"/>
              </w:rPr>
              <w:t>,</w:t>
            </w:r>
            <w:r w:rsidR="004C6809" w:rsidRPr="00C35468">
              <w:rPr>
                <w:rFonts w:cstheme="minorHAnsi"/>
                <w:lang w:val="en-GB"/>
              </w:rPr>
              <w:t xml:space="preserve"> the occasion and full n</w:t>
            </w:r>
            <w:r w:rsidR="00727B02" w:rsidRPr="00C35468">
              <w:rPr>
                <w:rFonts w:cstheme="minorHAnsi"/>
                <w:lang w:val="en-GB"/>
              </w:rPr>
              <w:t>a</w:t>
            </w:r>
            <w:r w:rsidR="004C6809" w:rsidRPr="00C35468">
              <w:rPr>
                <w:rFonts w:cstheme="minorHAnsi"/>
                <w:lang w:val="en-GB"/>
              </w:rPr>
              <w:t xml:space="preserve">mes </w:t>
            </w:r>
            <w:r w:rsidR="00727B02" w:rsidRPr="00C35468">
              <w:rPr>
                <w:rFonts w:cstheme="minorHAnsi"/>
                <w:lang w:val="en-GB"/>
              </w:rPr>
              <w:t xml:space="preserve">and </w:t>
            </w:r>
            <w:r w:rsidR="00624500" w:rsidRPr="00C35468">
              <w:rPr>
                <w:rFonts w:cstheme="minorHAnsi"/>
                <w:lang w:val="en-GB"/>
              </w:rPr>
              <w:t xml:space="preserve">affiliation of the participants </w:t>
            </w:r>
            <w:proofErr w:type="gramStart"/>
            <w:r w:rsidR="00624500" w:rsidRPr="00C35468">
              <w:rPr>
                <w:rFonts w:cstheme="minorHAnsi"/>
                <w:lang w:val="en-GB"/>
              </w:rPr>
              <w:t>must be stated</w:t>
            </w:r>
            <w:proofErr w:type="gramEnd"/>
            <w:r w:rsidR="00624500" w:rsidRPr="00C35468">
              <w:rPr>
                <w:rFonts w:cstheme="minorHAnsi"/>
                <w:lang w:val="en-GB"/>
              </w:rPr>
              <w:t>.</w:t>
            </w:r>
          </w:p>
          <w:p w:rsidR="00A554B8" w:rsidRPr="00C35468" w:rsidRDefault="00A554B8" w:rsidP="00C859FA">
            <w:pPr>
              <w:rPr>
                <w:rFonts w:cstheme="minorHAnsi"/>
                <w:lang w:val="en-GB"/>
              </w:rPr>
            </w:pPr>
          </w:p>
          <w:p w:rsidR="00A554B8" w:rsidRPr="00C35468" w:rsidRDefault="00A554B8" w:rsidP="00C859FA">
            <w:pPr>
              <w:rPr>
                <w:rFonts w:cstheme="minorHAnsi"/>
                <w:lang w:val="en-GB"/>
              </w:rPr>
            </w:pPr>
            <w:r w:rsidRPr="00C35468">
              <w:rPr>
                <w:rFonts w:cstheme="minorHAnsi"/>
                <w:lang w:val="en-GB"/>
              </w:rPr>
              <w:t xml:space="preserve">For all </w:t>
            </w:r>
            <w:r w:rsidR="008D1256">
              <w:rPr>
                <w:rFonts w:cstheme="minorHAnsi"/>
                <w:lang w:val="en-GB"/>
              </w:rPr>
              <w:t xml:space="preserve">representation </w:t>
            </w:r>
            <w:r w:rsidR="000F5FFA">
              <w:rPr>
                <w:rFonts w:cstheme="minorHAnsi"/>
                <w:lang w:val="en-GB"/>
              </w:rPr>
              <w:t>expenses</w:t>
            </w:r>
            <w:r w:rsidRPr="00C35468">
              <w:rPr>
                <w:rFonts w:cstheme="minorHAnsi"/>
                <w:lang w:val="en-GB"/>
              </w:rPr>
              <w:t xml:space="preserve"> </w:t>
            </w:r>
            <w:r w:rsidR="00D941B0">
              <w:rPr>
                <w:rFonts w:cstheme="minorHAnsi"/>
                <w:lang w:val="en-GB"/>
              </w:rPr>
              <w:t>with</w:t>
            </w:r>
            <w:r w:rsidR="001D2BCA">
              <w:rPr>
                <w:rFonts w:cstheme="minorHAnsi"/>
                <w:lang w:val="en-GB"/>
              </w:rPr>
              <w:t xml:space="preserve"> external guests,</w:t>
            </w:r>
            <w:r w:rsidR="00F9231C">
              <w:rPr>
                <w:rFonts w:cstheme="minorHAnsi"/>
                <w:lang w:val="en-GB"/>
              </w:rPr>
              <w:t xml:space="preserve"> including</w:t>
            </w:r>
            <w:r w:rsidRPr="00C35468">
              <w:rPr>
                <w:rFonts w:cstheme="minorHAnsi"/>
                <w:lang w:val="en-GB"/>
              </w:rPr>
              <w:t xml:space="preserve"> food </w:t>
            </w:r>
            <w:r w:rsidR="00A37F0B">
              <w:rPr>
                <w:rFonts w:cstheme="minorHAnsi"/>
                <w:lang w:val="en-GB"/>
              </w:rPr>
              <w:t>at</w:t>
            </w:r>
            <w:r w:rsidRPr="00C35468">
              <w:rPr>
                <w:rFonts w:cstheme="minorHAnsi"/>
                <w:lang w:val="en-GB"/>
              </w:rPr>
              <w:t xml:space="preserve"> examination</w:t>
            </w:r>
            <w:r w:rsidR="00D941B0">
              <w:rPr>
                <w:rFonts w:cstheme="minorHAnsi"/>
                <w:lang w:val="en-GB"/>
              </w:rPr>
              <w:t>s</w:t>
            </w:r>
            <w:r w:rsidRPr="00C35468">
              <w:rPr>
                <w:rFonts w:cstheme="minorHAnsi"/>
                <w:lang w:val="en-GB"/>
              </w:rPr>
              <w:t xml:space="preserve"> with external co-examiner</w:t>
            </w:r>
            <w:r w:rsidR="000F5FFA">
              <w:rPr>
                <w:rFonts w:cstheme="minorHAnsi"/>
                <w:lang w:val="en-GB"/>
              </w:rPr>
              <w:t>s,</w:t>
            </w:r>
            <w:r w:rsidRPr="00C35468">
              <w:rPr>
                <w:rFonts w:cstheme="minorHAnsi"/>
                <w:lang w:val="en-GB"/>
              </w:rPr>
              <w:t xml:space="preserve"> </w:t>
            </w:r>
            <w:r w:rsidR="005A2D31">
              <w:rPr>
                <w:rFonts w:cstheme="minorHAnsi"/>
                <w:lang w:val="en-GB"/>
              </w:rPr>
              <w:t>a requisition</w:t>
            </w:r>
            <w:r w:rsidR="001D2BCA">
              <w:rPr>
                <w:rFonts w:cstheme="minorHAnsi"/>
                <w:lang w:val="en-GB"/>
              </w:rPr>
              <w:t xml:space="preserve">, </w:t>
            </w:r>
            <w:r w:rsidR="00C86D0B">
              <w:rPr>
                <w:rFonts w:cstheme="minorHAnsi"/>
                <w:lang w:val="en-GB"/>
              </w:rPr>
              <w:t xml:space="preserve">which </w:t>
            </w:r>
            <w:proofErr w:type="gramStart"/>
            <w:r w:rsidR="00C86D0B">
              <w:rPr>
                <w:rFonts w:cstheme="minorHAnsi"/>
                <w:lang w:val="en-GB"/>
              </w:rPr>
              <w:t>has been signed</w:t>
            </w:r>
            <w:proofErr w:type="gramEnd"/>
            <w:r w:rsidR="00C86D0B">
              <w:rPr>
                <w:rFonts w:cstheme="minorHAnsi"/>
                <w:lang w:val="en-GB"/>
              </w:rPr>
              <w:t xml:space="preserve"> by the head of department beforehand</w:t>
            </w:r>
            <w:r w:rsidR="001D2BCA">
              <w:rPr>
                <w:rFonts w:cstheme="minorHAnsi"/>
                <w:lang w:val="en-GB"/>
              </w:rPr>
              <w:t>,</w:t>
            </w:r>
            <w:r w:rsidR="005A2D31">
              <w:rPr>
                <w:rFonts w:cstheme="minorHAnsi"/>
                <w:lang w:val="en-GB"/>
              </w:rPr>
              <w:t xml:space="preserve"> must be included</w:t>
            </w:r>
            <w:r w:rsidR="0069732C" w:rsidRPr="00C35468">
              <w:rPr>
                <w:rFonts w:cstheme="minorHAnsi"/>
                <w:lang w:val="en-GB"/>
              </w:rPr>
              <w:t>.</w:t>
            </w:r>
          </w:p>
          <w:p w:rsidR="0069732C" w:rsidRPr="00C35468" w:rsidRDefault="0069732C" w:rsidP="00C859FA">
            <w:pPr>
              <w:rPr>
                <w:rFonts w:cstheme="minorHAnsi"/>
                <w:lang w:val="en-GB"/>
              </w:rPr>
            </w:pPr>
          </w:p>
          <w:p w:rsidR="0069732C" w:rsidRPr="00C35468" w:rsidRDefault="0069732C" w:rsidP="00C859FA">
            <w:pPr>
              <w:rPr>
                <w:rFonts w:cstheme="minorHAnsi"/>
                <w:lang w:val="en-GB"/>
              </w:rPr>
            </w:pPr>
            <w:r w:rsidRPr="00C35468">
              <w:rPr>
                <w:rFonts w:cstheme="minorHAnsi"/>
                <w:lang w:val="en-GB"/>
              </w:rPr>
              <w:t>The expense</w:t>
            </w:r>
            <w:r w:rsidR="001D2BCA">
              <w:rPr>
                <w:rFonts w:cstheme="minorHAnsi"/>
                <w:lang w:val="en-GB"/>
              </w:rPr>
              <w:t>s</w:t>
            </w:r>
            <w:r w:rsidRPr="00C35468">
              <w:rPr>
                <w:rFonts w:cstheme="minorHAnsi"/>
                <w:lang w:val="en-GB"/>
              </w:rPr>
              <w:t xml:space="preserve"> </w:t>
            </w:r>
            <w:proofErr w:type="gramStart"/>
            <w:r w:rsidR="00C86D0B">
              <w:rPr>
                <w:rFonts w:cstheme="minorHAnsi"/>
                <w:lang w:val="en-GB"/>
              </w:rPr>
              <w:t>must be</w:t>
            </w:r>
            <w:r w:rsidRPr="00C35468">
              <w:rPr>
                <w:rFonts w:cstheme="minorHAnsi"/>
                <w:lang w:val="en-GB"/>
              </w:rPr>
              <w:t xml:space="preserve"> kept</w:t>
            </w:r>
            <w:proofErr w:type="gramEnd"/>
            <w:r w:rsidR="005A2D31">
              <w:rPr>
                <w:rFonts w:cstheme="minorHAnsi"/>
                <w:lang w:val="en-GB"/>
              </w:rPr>
              <w:t xml:space="preserve"> within the budget of the </w:t>
            </w:r>
            <w:r w:rsidRPr="00C35468">
              <w:rPr>
                <w:rFonts w:cstheme="minorHAnsi"/>
                <w:lang w:val="en-GB"/>
              </w:rPr>
              <w:t>department/</w:t>
            </w:r>
            <w:r w:rsidR="005A2D31" w:rsidRPr="00C35468">
              <w:rPr>
                <w:rFonts w:cstheme="minorHAnsi"/>
                <w:lang w:val="en-GB"/>
              </w:rPr>
              <w:t>ce</w:t>
            </w:r>
            <w:r w:rsidR="005A2D31">
              <w:rPr>
                <w:rFonts w:cstheme="minorHAnsi"/>
                <w:lang w:val="en-GB"/>
              </w:rPr>
              <w:t>ntre/main area/area of the deputy director</w:t>
            </w:r>
            <w:r w:rsidRPr="00C35468">
              <w:rPr>
                <w:rFonts w:cstheme="minorHAnsi"/>
                <w:lang w:val="en-GB"/>
              </w:rPr>
              <w:t>.</w:t>
            </w:r>
          </w:p>
          <w:p w:rsidR="0069732C" w:rsidRPr="00C35468" w:rsidRDefault="0069732C" w:rsidP="00C859FA">
            <w:pPr>
              <w:rPr>
                <w:rFonts w:cstheme="minorHAnsi"/>
                <w:lang w:val="en-GB"/>
              </w:rPr>
            </w:pPr>
          </w:p>
          <w:p w:rsidR="0069732C" w:rsidRPr="00C35468" w:rsidRDefault="0069732C" w:rsidP="00C859FA">
            <w:pPr>
              <w:rPr>
                <w:rFonts w:cstheme="minorHAnsi"/>
                <w:lang w:val="en-GB"/>
              </w:rPr>
            </w:pPr>
            <w:r w:rsidRPr="00C35468">
              <w:rPr>
                <w:rFonts w:cstheme="minorHAnsi"/>
                <w:lang w:val="en-GB"/>
              </w:rPr>
              <w:t>The maximum amount for lunch is DKK 450 and</w:t>
            </w:r>
            <w:r w:rsidR="005A2D31">
              <w:rPr>
                <w:rFonts w:cstheme="minorHAnsi"/>
                <w:lang w:val="en-GB"/>
              </w:rPr>
              <w:t xml:space="preserve"> the maximum amount for dinner i</w:t>
            </w:r>
            <w:r w:rsidRPr="00C35468">
              <w:rPr>
                <w:rFonts w:cstheme="minorHAnsi"/>
                <w:lang w:val="en-GB"/>
              </w:rPr>
              <w:t>s DKK 800 per person including beverages.</w:t>
            </w:r>
          </w:p>
          <w:p w:rsidR="00D203C2" w:rsidRPr="00C35468" w:rsidRDefault="00D203C2" w:rsidP="00C859FA">
            <w:pPr>
              <w:rPr>
                <w:rFonts w:cstheme="minorHAnsi"/>
                <w:lang w:val="en-GB"/>
              </w:rPr>
            </w:pPr>
          </w:p>
          <w:p w:rsidR="005A2D31" w:rsidRDefault="00D203C2" w:rsidP="00C859FA">
            <w:pPr>
              <w:rPr>
                <w:rFonts w:cstheme="minorHAnsi"/>
                <w:lang w:val="en-GB"/>
              </w:rPr>
            </w:pPr>
            <w:r w:rsidRPr="00C35468">
              <w:rPr>
                <w:rFonts w:cstheme="minorHAnsi"/>
                <w:lang w:val="en-GB"/>
              </w:rPr>
              <w:t xml:space="preserve">It is the head of </w:t>
            </w:r>
            <w:r w:rsidR="005A2D31" w:rsidRPr="00C35468">
              <w:rPr>
                <w:rFonts w:cstheme="minorHAnsi"/>
                <w:lang w:val="en-GB"/>
              </w:rPr>
              <w:t>department</w:t>
            </w:r>
            <w:r w:rsidRPr="00C35468">
              <w:rPr>
                <w:rFonts w:cstheme="minorHAnsi"/>
                <w:lang w:val="en-GB"/>
              </w:rPr>
              <w:t>/</w:t>
            </w:r>
            <w:r w:rsidR="005A2D31" w:rsidRPr="00C35468">
              <w:rPr>
                <w:rFonts w:cstheme="minorHAnsi"/>
                <w:lang w:val="en-GB"/>
              </w:rPr>
              <w:t>centre</w:t>
            </w:r>
            <w:r w:rsidR="005A2D31">
              <w:rPr>
                <w:rFonts w:cstheme="minorHAnsi"/>
                <w:lang w:val="en-GB"/>
              </w:rPr>
              <w:t xml:space="preserve"> leader/</w:t>
            </w:r>
            <w:r w:rsidRPr="00C35468">
              <w:rPr>
                <w:rFonts w:cstheme="minorHAnsi"/>
                <w:lang w:val="en-GB"/>
              </w:rPr>
              <w:t xml:space="preserve">deputy director who </w:t>
            </w:r>
            <w:r w:rsidR="00F9231C">
              <w:rPr>
                <w:rFonts w:cstheme="minorHAnsi"/>
                <w:lang w:val="en-GB"/>
              </w:rPr>
              <w:t xml:space="preserve">approves </w:t>
            </w:r>
            <w:r w:rsidR="00DE1862">
              <w:rPr>
                <w:rFonts w:cstheme="minorHAnsi"/>
                <w:lang w:val="en-GB"/>
              </w:rPr>
              <w:t>t</w:t>
            </w:r>
            <w:r w:rsidRPr="00C35468">
              <w:rPr>
                <w:rFonts w:cstheme="minorHAnsi"/>
                <w:lang w:val="en-GB"/>
              </w:rPr>
              <w:t>h</w:t>
            </w:r>
            <w:r w:rsidR="005A2D31">
              <w:rPr>
                <w:rFonts w:cstheme="minorHAnsi"/>
                <w:lang w:val="en-GB"/>
              </w:rPr>
              <w:t>e</w:t>
            </w:r>
          </w:p>
          <w:p w:rsidR="00411FF9" w:rsidRPr="00C35468" w:rsidRDefault="00D203C2" w:rsidP="00C859FA">
            <w:pPr>
              <w:rPr>
                <w:rFonts w:cstheme="minorHAnsi"/>
                <w:lang w:val="en-GB"/>
              </w:rPr>
            </w:pPr>
            <w:proofErr w:type="gramStart"/>
            <w:r w:rsidRPr="00C35468">
              <w:rPr>
                <w:rFonts w:cstheme="minorHAnsi"/>
                <w:lang w:val="en-GB"/>
              </w:rPr>
              <w:t>representation</w:t>
            </w:r>
            <w:proofErr w:type="gramEnd"/>
            <w:r w:rsidR="008D1256">
              <w:rPr>
                <w:rFonts w:cstheme="minorHAnsi"/>
                <w:lang w:val="en-GB"/>
              </w:rPr>
              <w:t xml:space="preserve"> expenses</w:t>
            </w:r>
            <w:r w:rsidR="001D2BCA">
              <w:rPr>
                <w:rFonts w:cstheme="minorHAnsi"/>
                <w:lang w:val="en-GB"/>
              </w:rPr>
              <w:t xml:space="preserve">, </w:t>
            </w:r>
            <w:r w:rsidR="00E62D12">
              <w:rPr>
                <w:rFonts w:cstheme="minorHAnsi"/>
                <w:lang w:val="en-GB"/>
              </w:rPr>
              <w:t xml:space="preserve">as </w:t>
            </w:r>
            <w:r w:rsidR="001D2BCA">
              <w:rPr>
                <w:rFonts w:cstheme="minorHAnsi"/>
                <w:lang w:val="en-GB"/>
              </w:rPr>
              <w:t>set</w:t>
            </w:r>
            <w:r w:rsidRPr="00C35468">
              <w:rPr>
                <w:rFonts w:cstheme="minorHAnsi"/>
                <w:lang w:val="en-GB"/>
              </w:rPr>
              <w:t xml:space="preserve"> within the </w:t>
            </w:r>
            <w:r w:rsidR="006C252B">
              <w:rPr>
                <w:rFonts w:cstheme="minorHAnsi"/>
                <w:lang w:val="en-GB"/>
              </w:rPr>
              <w:t>amount limit of</w:t>
            </w:r>
            <w:r w:rsidRPr="00C35468">
              <w:rPr>
                <w:rFonts w:cstheme="minorHAnsi"/>
                <w:lang w:val="en-GB"/>
              </w:rPr>
              <w:t xml:space="preserve"> </w:t>
            </w:r>
            <w:r w:rsidR="005A2D31">
              <w:rPr>
                <w:rFonts w:cstheme="minorHAnsi"/>
                <w:lang w:val="en-GB"/>
              </w:rPr>
              <w:t>expenses</w:t>
            </w:r>
            <w:r w:rsidRPr="00C35468">
              <w:rPr>
                <w:rFonts w:cstheme="minorHAnsi"/>
                <w:lang w:val="en-GB"/>
              </w:rPr>
              <w:t xml:space="preserve"> stated. Deviation from this </w:t>
            </w:r>
            <w:r w:rsidRPr="00C35468">
              <w:rPr>
                <w:rFonts w:cstheme="minorHAnsi"/>
                <w:b/>
                <w:lang w:val="en-GB"/>
              </w:rPr>
              <w:t xml:space="preserve">cannot </w:t>
            </w:r>
            <w:r w:rsidRPr="00C35468">
              <w:rPr>
                <w:rFonts w:cstheme="minorHAnsi"/>
                <w:lang w:val="en-GB"/>
              </w:rPr>
              <w:t>take place without prior approval of the dean or the university director.</w:t>
            </w:r>
            <w:r w:rsidR="00A37F0B" w:rsidRPr="00C35468">
              <w:rPr>
                <w:rFonts w:cstheme="minorHAnsi"/>
                <w:lang w:val="en-GB"/>
              </w:rPr>
              <w:t xml:space="preserve"> </w:t>
            </w:r>
          </w:p>
          <w:p w:rsidR="00411FF9" w:rsidRPr="00C35468" w:rsidRDefault="00411FF9" w:rsidP="00C859FA">
            <w:pPr>
              <w:shd w:val="clear" w:color="auto" w:fill="FFFFFF"/>
              <w:rPr>
                <w:rFonts w:cstheme="minorHAnsi"/>
                <w:b/>
                <w:lang w:val="en-GB"/>
              </w:rPr>
            </w:pPr>
          </w:p>
        </w:tc>
      </w:tr>
      <w:tr w:rsidR="00411FF9" w:rsidRPr="00C35468" w:rsidTr="00C859FA">
        <w:trPr>
          <w:trHeight w:val="60"/>
        </w:trPr>
        <w:tc>
          <w:tcPr>
            <w:tcW w:w="3317" w:type="dxa"/>
          </w:tcPr>
          <w:p w:rsidR="00411FF9" w:rsidRPr="00C35468" w:rsidRDefault="00D203C2" w:rsidP="00C859FA">
            <w:pPr>
              <w:rPr>
                <w:rFonts w:cstheme="minorHAnsi"/>
                <w:b/>
                <w:lang w:val="en-GB"/>
              </w:rPr>
            </w:pPr>
            <w:r w:rsidRPr="00C35468">
              <w:rPr>
                <w:rFonts w:cstheme="minorHAnsi"/>
                <w:b/>
                <w:lang w:val="en-GB"/>
              </w:rPr>
              <w:t>Receptions</w:t>
            </w:r>
          </w:p>
          <w:p w:rsidR="00411FF9" w:rsidRPr="00C35468" w:rsidRDefault="00411FF9" w:rsidP="00C859FA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0268" w:type="dxa"/>
          </w:tcPr>
          <w:p w:rsidR="00411FF9" w:rsidRPr="00C35468" w:rsidRDefault="00D203C2" w:rsidP="00C859F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Reception</w:t>
            </w:r>
            <w:r w:rsidR="006C25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can be held in </w:t>
            </w:r>
            <w:r w:rsidR="009C42DA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connection</w:t>
            </w: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</w:t>
            </w:r>
            <w:r w:rsidR="00411FF9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  <w:p w:rsidR="00411FF9" w:rsidRPr="00C35468" w:rsidRDefault="009C42DA" w:rsidP="00411FF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Personal jubilees</w:t>
            </w:r>
            <w:r w:rsidR="00411FF9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r w:rsidR="00E62D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after </w:t>
            </w:r>
            <w:r w:rsidR="00DE1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  <w:r w:rsidR="00411FF9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E1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 w:rsidR="00411FF9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40 </w:t>
            </w: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years</w:t>
            </w:r>
            <w:r w:rsidR="00DE1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</w:t>
            </w: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employment)</w:t>
            </w:r>
          </w:p>
          <w:p w:rsidR="00411FF9" w:rsidRPr="006C252B" w:rsidRDefault="006C252B" w:rsidP="006C252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Resignation</w:t>
            </w:r>
            <w:r w:rsidR="009C42DA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after </w:t>
            </w:r>
            <w:r w:rsidR="00DE1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long-term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employment (usual</w:t>
            </w:r>
            <w:r w:rsidRPr="006C25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ly</w:t>
            </w:r>
            <w:r w:rsidR="009C42DA" w:rsidRPr="006C25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at least</w:t>
            </w:r>
            <w:r w:rsidR="00411FF9" w:rsidRPr="006C25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15-20 </w:t>
            </w:r>
            <w:r w:rsidR="009C42DA" w:rsidRPr="006C25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years</w:t>
            </w:r>
            <w:r w:rsidR="00411FF9" w:rsidRPr="006C25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).</w:t>
            </w:r>
          </w:p>
          <w:p w:rsidR="00411FF9" w:rsidRPr="00C35468" w:rsidRDefault="00071B3D" w:rsidP="00411FF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Defenc</w:t>
            </w:r>
            <w:r w:rsidR="009C42DA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 of a 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9C42DA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</w:t>
            </w:r>
          </w:p>
          <w:p w:rsidR="00411FF9" w:rsidRPr="00C35468" w:rsidRDefault="00071B3D" w:rsidP="00411FF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Defenc</w:t>
            </w:r>
            <w:r w:rsidR="009C42DA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 of a PhD thesis</w:t>
            </w:r>
          </w:p>
          <w:p w:rsidR="00411FF9" w:rsidRPr="00C35468" w:rsidRDefault="00411FF9" w:rsidP="00C859F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B66E14" w:rsidRPr="00C35468" w:rsidRDefault="00B66E14" w:rsidP="00C859F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Receptions in connection with jubilees, resignation etc. must be in agreement with the nearest leader. The maximum amount is DKK 85 per person for receptions.</w:t>
            </w:r>
          </w:p>
          <w:p w:rsidR="00411FF9" w:rsidRPr="00C35468" w:rsidRDefault="00411FF9" w:rsidP="00C859F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411FF9" w:rsidRPr="00C35468" w:rsidRDefault="00B66E14" w:rsidP="00C859F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Expenses in connection with </w:t>
            </w:r>
            <w:r w:rsidR="006A3C6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="00071B3D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arrangements</w:t>
            </w: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must be </w:t>
            </w:r>
            <w:r w:rsidR="00BD6A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kept</w:t>
            </w:r>
            <w:proofErr w:type="gramEnd"/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at the section </w:t>
            </w:r>
            <w:r w:rsidR="00071B3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where</w:t>
            </w: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</w:t>
            </w:r>
            <w:r w:rsidR="00071B3D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</w:t>
            </w: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</w:t>
            </w:r>
            <w:r w:rsidR="00071B3D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question</w:t>
            </w: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</w:t>
            </w:r>
            <w:r w:rsidR="005C5B1F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has been </w:t>
            </w: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employed</w:t>
            </w:r>
            <w:r w:rsidR="00BD6A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5C5B1F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if it concerns a </w:t>
            </w:r>
            <w:r w:rsidR="006A3C6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unit </w:t>
            </w:r>
            <w:r w:rsidR="005C5B1F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with an annual income. </w:t>
            </w:r>
            <w:r w:rsidR="00BD6ADC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Otherwise,</w:t>
            </w:r>
            <w:r w:rsidR="005C5B1F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expenses </w:t>
            </w:r>
            <w:proofErr w:type="gramStart"/>
            <w:r w:rsidR="005C5B1F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settled</w:t>
            </w:r>
            <w:proofErr w:type="gramEnd"/>
            <w:r w:rsidR="005C5B1F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the </w:t>
            </w:r>
            <w:r w:rsidR="00BD6A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head</w:t>
            </w:r>
            <w:r w:rsidR="006A3C6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</w:t>
            </w:r>
            <w:r w:rsidR="00BD6A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71B3D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</w:t>
            </w:r>
            <w:r w:rsidR="005C5B1F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411FF9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411FF9" w:rsidRPr="00C35468" w:rsidRDefault="00411FF9" w:rsidP="00C859F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411FF9" w:rsidRPr="00C35468" w:rsidRDefault="00BD6ADC" w:rsidP="00C859F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minimise the time that is</w:t>
            </w:r>
            <w:r w:rsidR="005C5B1F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marked</w:t>
            </w:r>
            <w:r w:rsidR="005C5B1F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out for planning and</w:t>
            </w:r>
            <w:r w:rsidR="00C53199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holding receptions </w:t>
            </w:r>
            <w:r w:rsidR="00BB105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it is </w:t>
            </w:r>
            <w:r w:rsidR="00C53199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recommend that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food</w:t>
            </w:r>
            <w:r w:rsidR="00C53199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gramStart"/>
            <w:r w:rsidR="00C53199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</w:t>
            </w:r>
            <w:r w:rsidR="00E62D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catered</w:t>
            </w:r>
            <w:proofErr w:type="gramEnd"/>
            <w:r w:rsidR="00C53199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externally</w:t>
            </w:r>
            <w:r w:rsidR="00C53199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411FF9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411FF9" w:rsidRPr="00C35468" w:rsidRDefault="00C53199" w:rsidP="00C859F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For further </w:t>
            </w:r>
            <w:r w:rsidR="00BD6ADC"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questions,</w:t>
            </w: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ask the head of departmen</w:t>
            </w:r>
            <w:r w:rsidR="00BD6AD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C354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:rsidR="00411FF9" w:rsidRPr="00C35468" w:rsidRDefault="00411FF9" w:rsidP="00C859FA">
            <w:pPr>
              <w:rPr>
                <w:rFonts w:cstheme="minorHAnsi"/>
                <w:b/>
                <w:lang w:val="en-GB"/>
              </w:rPr>
            </w:pPr>
          </w:p>
        </w:tc>
      </w:tr>
      <w:tr w:rsidR="00411FF9" w:rsidRPr="00C35468" w:rsidTr="00C859FA">
        <w:trPr>
          <w:trHeight w:val="60"/>
        </w:trPr>
        <w:tc>
          <w:tcPr>
            <w:tcW w:w="3317" w:type="dxa"/>
          </w:tcPr>
          <w:p w:rsidR="00411FF9" w:rsidRPr="00C35468" w:rsidRDefault="00BD6ADC" w:rsidP="00C859FA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lastRenderedPageBreak/>
              <w:t>Academi</w:t>
            </w:r>
            <w:r w:rsidR="00C53199" w:rsidRPr="00C35468">
              <w:rPr>
                <w:rFonts w:cstheme="minorHAnsi"/>
                <w:b/>
                <w:lang w:val="en-GB"/>
              </w:rPr>
              <w:t>c arrangements</w:t>
            </w:r>
          </w:p>
        </w:tc>
        <w:tc>
          <w:tcPr>
            <w:tcW w:w="10268" w:type="dxa"/>
          </w:tcPr>
          <w:p w:rsidR="00411FF9" w:rsidRPr="00C35468" w:rsidRDefault="00BB1052" w:rsidP="00C859FA">
            <w:pPr>
              <w:rPr>
                <w:rFonts w:cstheme="minorHAnsi"/>
                <w:lang w:val="en-GB"/>
              </w:rPr>
            </w:pPr>
            <w:r w:rsidRPr="00C35468">
              <w:rPr>
                <w:rFonts w:cstheme="minorHAnsi"/>
                <w:lang w:val="en-GB"/>
              </w:rPr>
              <w:t>The department management team must approve academic arrangements with food and excursions</w:t>
            </w:r>
            <w:r w:rsidR="00BD6ADC">
              <w:rPr>
                <w:rFonts w:cstheme="minorHAnsi"/>
                <w:lang w:val="en-GB"/>
              </w:rPr>
              <w:t xml:space="preserve"> beforehand</w:t>
            </w:r>
            <w:r w:rsidR="00C53199" w:rsidRPr="00C35468">
              <w:rPr>
                <w:rFonts w:cstheme="minorHAnsi"/>
                <w:lang w:val="en-GB"/>
              </w:rPr>
              <w:t>.</w:t>
            </w:r>
            <w:r w:rsidR="00411FF9" w:rsidRPr="00C35468">
              <w:rPr>
                <w:rFonts w:cstheme="minorHAnsi"/>
                <w:lang w:val="en-GB"/>
              </w:rPr>
              <w:t xml:space="preserve"> </w:t>
            </w:r>
          </w:p>
          <w:p w:rsidR="00411FF9" w:rsidRPr="00C35468" w:rsidRDefault="00411FF9" w:rsidP="00C859FA">
            <w:pPr>
              <w:rPr>
                <w:rFonts w:cstheme="minorHAnsi"/>
                <w:b/>
                <w:lang w:val="en-GB"/>
              </w:rPr>
            </w:pPr>
          </w:p>
        </w:tc>
      </w:tr>
      <w:tr w:rsidR="00411FF9" w:rsidRPr="00C35468" w:rsidTr="00C859FA">
        <w:trPr>
          <w:trHeight w:val="60"/>
        </w:trPr>
        <w:tc>
          <w:tcPr>
            <w:tcW w:w="3317" w:type="dxa"/>
          </w:tcPr>
          <w:p w:rsidR="00411FF9" w:rsidRPr="00C35468" w:rsidRDefault="00C53199" w:rsidP="00C859FA">
            <w:pPr>
              <w:rPr>
                <w:rFonts w:cstheme="minorHAnsi"/>
                <w:b/>
                <w:lang w:val="en-GB"/>
              </w:rPr>
            </w:pPr>
            <w:r w:rsidRPr="00C35468">
              <w:rPr>
                <w:rFonts w:cstheme="minorHAnsi"/>
                <w:b/>
                <w:lang w:val="en-GB"/>
              </w:rPr>
              <w:t>Useful links</w:t>
            </w:r>
          </w:p>
        </w:tc>
        <w:tc>
          <w:tcPr>
            <w:tcW w:w="10268" w:type="dxa"/>
          </w:tcPr>
          <w:p w:rsidR="00411FF9" w:rsidRPr="00C35468" w:rsidRDefault="00763D13" w:rsidP="00C859FA">
            <w:pPr>
              <w:shd w:val="clear" w:color="auto" w:fill="FFFFFF"/>
              <w:rPr>
                <w:rFonts w:cstheme="minorHAnsi"/>
                <w:color w:val="333333"/>
                <w:lang w:val="en-GB"/>
              </w:rPr>
            </w:pPr>
            <w:hyperlink r:id="rId5" w:history="1">
              <w:proofErr w:type="spellStart"/>
              <w:r w:rsidR="00411FF9" w:rsidRPr="00C35468">
                <w:rPr>
                  <w:rStyle w:val="Hyperlink"/>
                  <w:rFonts w:cstheme="minorHAnsi"/>
                  <w:lang w:val="en-GB"/>
                </w:rPr>
                <w:t>Budgetvejledning</w:t>
              </w:r>
              <w:proofErr w:type="spellEnd"/>
              <w:r w:rsidR="00411FF9" w:rsidRPr="00C35468">
                <w:rPr>
                  <w:rStyle w:val="Hyperlink"/>
                  <w:rFonts w:cstheme="minorHAnsi"/>
                  <w:lang w:val="en-GB"/>
                </w:rPr>
                <w:t xml:space="preserve"> 2016</w:t>
              </w:r>
            </w:hyperlink>
            <w:r w:rsidR="00C53199" w:rsidRPr="00C35468">
              <w:rPr>
                <w:rStyle w:val="Hyperlink"/>
                <w:rFonts w:cstheme="minorHAnsi"/>
                <w:lang w:val="en-GB"/>
              </w:rPr>
              <w:t xml:space="preserve">  </w:t>
            </w:r>
          </w:p>
          <w:p w:rsidR="00411FF9" w:rsidRPr="00C35468" w:rsidRDefault="00763D13" w:rsidP="00C859FA">
            <w:pPr>
              <w:shd w:val="clear" w:color="auto" w:fill="FFFFFF"/>
              <w:rPr>
                <w:rFonts w:cstheme="minorHAnsi"/>
                <w:color w:val="333333"/>
                <w:lang w:val="en-GB"/>
              </w:rPr>
            </w:pPr>
            <w:hyperlink r:id="rId6" w:history="1">
              <w:proofErr w:type="spellStart"/>
              <w:r w:rsidR="00411FF9" w:rsidRPr="00C35468">
                <w:rPr>
                  <w:rStyle w:val="Hyperlink"/>
                  <w:rFonts w:cstheme="minorHAnsi"/>
                  <w:lang w:val="en-GB"/>
                </w:rPr>
                <w:t>Regnskabsinstruks</w:t>
              </w:r>
              <w:proofErr w:type="spellEnd"/>
              <w:r w:rsidR="00411FF9" w:rsidRPr="00C35468">
                <w:rPr>
                  <w:rStyle w:val="Hyperlink"/>
                  <w:rFonts w:cstheme="minorHAnsi"/>
                  <w:lang w:val="en-GB"/>
                </w:rPr>
                <w:t xml:space="preserve"> for Aarhus Universitet</w:t>
              </w:r>
            </w:hyperlink>
          </w:p>
          <w:p w:rsidR="00411FF9" w:rsidRPr="00C35468" w:rsidRDefault="00763D13" w:rsidP="00C859FA">
            <w:pPr>
              <w:shd w:val="clear" w:color="auto" w:fill="FFFFFF"/>
              <w:rPr>
                <w:rStyle w:val="Hyperlink"/>
                <w:rFonts w:cstheme="minorHAnsi"/>
                <w:b/>
                <w:lang w:val="en-GB"/>
              </w:rPr>
            </w:pPr>
            <w:hyperlink r:id="rId7" w:history="1">
              <w:r w:rsidR="00411FF9" w:rsidRPr="00C35468">
                <w:rPr>
                  <w:rStyle w:val="Hyperlink"/>
                  <w:rFonts w:cstheme="minorHAnsi"/>
                  <w:lang w:val="en-GB"/>
                </w:rPr>
                <w:t xml:space="preserve">God </w:t>
              </w:r>
              <w:proofErr w:type="spellStart"/>
              <w:r w:rsidR="00411FF9" w:rsidRPr="00C35468">
                <w:rPr>
                  <w:rStyle w:val="Hyperlink"/>
                  <w:rFonts w:cstheme="minorHAnsi"/>
                  <w:lang w:val="en-GB"/>
                </w:rPr>
                <w:t>adfærd</w:t>
              </w:r>
              <w:proofErr w:type="spellEnd"/>
              <w:r w:rsidR="00411FF9" w:rsidRPr="00C35468">
                <w:rPr>
                  <w:rStyle w:val="Hyperlink"/>
                  <w:rFonts w:cstheme="minorHAnsi"/>
                  <w:lang w:val="en-GB"/>
                </w:rPr>
                <w:t xml:space="preserve"> </w:t>
              </w:r>
              <w:proofErr w:type="spellStart"/>
              <w:r w:rsidR="00411FF9" w:rsidRPr="00C35468">
                <w:rPr>
                  <w:rStyle w:val="Hyperlink"/>
                  <w:rFonts w:cstheme="minorHAnsi"/>
                  <w:lang w:val="en-GB"/>
                </w:rPr>
                <w:t>i</w:t>
              </w:r>
              <w:proofErr w:type="spellEnd"/>
              <w:r w:rsidR="00411FF9" w:rsidRPr="00C35468">
                <w:rPr>
                  <w:rStyle w:val="Hyperlink"/>
                  <w:rFonts w:cstheme="minorHAnsi"/>
                  <w:lang w:val="en-GB"/>
                </w:rPr>
                <w:t xml:space="preserve"> </w:t>
              </w:r>
              <w:proofErr w:type="spellStart"/>
              <w:r w:rsidR="00411FF9" w:rsidRPr="00C35468">
                <w:rPr>
                  <w:rStyle w:val="Hyperlink"/>
                  <w:rFonts w:cstheme="minorHAnsi"/>
                  <w:lang w:val="en-GB"/>
                </w:rPr>
                <w:t>det</w:t>
              </w:r>
              <w:proofErr w:type="spellEnd"/>
              <w:r w:rsidR="00411FF9" w:rsidRPr="00C35468">
                <w:rPr>
                  <w:rStyle w:val="Hyperlink"/>
                  <w:rFonts w:cstheme="minorHAnsi"/>
                  <w:lang w:val="en-GB"/>
                </w:rPr>
                <w:t xml:space="preserve"> </w:t>
              </w:r>
              <w:proofErr w:type="spellStart"/>
              <w:r w:rsidR="00411FF9" w:rsidRPr="00C35468">
                <w:rPr>
                  <w:rStyle w:val="Hyperlink"/>
                  <w:rFonts w:cstheme="minorHAnsi"/>
                  <w:lang w:val="en-GB"/>
                </w:rPr>
                <w:t>offentlige</w:t>
              </w:r>
              <w:proofErr w:type="spellEnd"/>
            </w:hyperlink>
          </w:p>
          <w:p w:rsidR="00411FF9" w:rsidRPr="00C35468" w:rsidRDefault="00411FF9" w:rsidP="00C859FA">
            <w:pPr>
              <w:pStyle w:val="Default"/>
              <w:rPr>
                <w:rFonts w:cstheme="minorBidi"/>
                <w:color w:val="auto"/>
                <w:lang w:val="en-GB"/>
              </w:rPr>
            </w:pPr>
          </w:p>
          <w:p w:rsidR="00411FF9" w:rsidRPr="00C35468" w:rsidRDefault="00411FF9" w:rsidP="00C859FA">
            <w:pPr>
              <w:rPr>
                <w:rFonts w:cstheme="minorHAnsi"/>
                <w:b/>
                <w:lang w:val="en-GB"/>
              </w:rPr>
            </w:pPr>
          </w:p>
        </w:tc>
      </w:tr>
      <w:tr w:rsidR="00A75FF4" w:rsidRPr="00C35468" w:rsidTr="00C859FA">
        <w:trPr>
          <w:trHeight w:val="60"/>
        </w:trPr>
        <w:tc>
          <w:tcPr>
            <w:tcW w:w="3317" w:type="dxa"/>
          </w:tcPr>
          <w:p w:rsidR="00A75FF4" w:rsidRPr="00C35468" w:rsidRDefault="00A75FF4" w:rsidP="00C859FA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0268" w:type="dxa"/>
          </w:tcPr>
          <w:p w:rsidR="00A75FF4" w:rsidRPr="00C35468" w:rsidRDefault="00A75FF4" w:rsidP="00C859FA">
            <w:pPr>
              <w:shd w:val="clear" w:color="auto" w:fill="FFFFFF"/>
              <w:rPr>
                <w:lang w:val="en-GB"/>
              </w:rPr>
            </w:pPr>
          </w:p>
        </w:tc>
      </w:tr>
    </w:tbl>
    <w:p w:rsidR="00411FF9" w:rsidRPr="00C35468" w:rsidRDefault="00411FF9" w:rsidP="00411FF9">
      <w:pPr>
        <w:shd w:val="clear" w:color="auto" w:fill="FFFFFF"/>
        <w:rPr>
          <w:rFonts w:eastAsia="Times New Roman" w:cstheme="minorHAnsi"/>
          <w:color w:val="333333"/>
          <w:lang w:val="en-GB" w:eastAsia="da-DK"/>
        </w:rPr>
      </w:pPr>
    </w:p>
    <w:p w:rsidR="00411FF9" w:rsidRPr="00C35468" w:rsidRDefault="00411FF9" w:rsidP="00411FF9">
      <w:pPr>
        <w:shd w:val="clear" w:color="auto" w:fill="FFFFFF"/>
        <w:rPr>
          <w:rFonts w:eastAsia="Times New Roman" w:cstheme="minorHAnsi"/>
          <w:color w:val="333333"/>
          <w:lang w:val="en-GB" w:eastAsia="da-DK"/>
        </w:rPr>
      </w:pPr>
    </w:p>
    <w:p w:rsidR="00411FF9" w:rsidRPr="00C35468" w:rsidRDefault="00411FF9" w:rsidP="00411FF9">
      <w:pPr>
        <w:shd w:val="clear" w:color="auto" w:fill="FFFFFF"/>
        <w:rPr>
          <w:rFonts w:eastAsia="Times New Roman" w:cstheme="minorHAnsi"/>
          <w:color w:val="333333"/>
          <w:lang w:val="en-GB" w:eastAsia="da-DK"/>
        </w:rPr>
      </w:pPr>
    </w:p>
    <w:p w:rsidR="00411FF9" w:rsidRPr="00C35468" w:rsidRDefault="00411FF9" w:rsidP="00411FF9">
      <w:pPr>
        <w:shd w:val="clear" w:color="auto" w:fill="FFFFFF"/>
        <w:rPr>
          <w:rFonts w:eastAsia="Times New Roman" w:cstheme="minorHAnsi"/>
          <w:color w:val="333333"/>
          <w:lang w:val="en-GB" w:eastAsia="da-DK"/>
        </w:rPr>
      </w:pPr>
    </w:p>
    <w:p w:rsidR="00411FF9" w:rsidRPr="00C35468" w:rsidRDefault="00411FF9" w:rsidP="00411FF9">
      <w:pPr>
        <w:rPr>
          <w:b/>
          <w:sz w:val="28"/>
          <w:lang w:val="en-GB"/>
        </w:rPr>
      </w:pPr>
    </w:p>
    <w:p w:rsidR="00CB20C7" w:rsidRPr="00C35468" w:rsidRDefault="00763D13">
      <w:pPr>
        <w:rPr>
          <w:lang w:val="en-GB"/>
        </w:rPr>
      </w:pPr>
    </w:p>
    <w:sectPr w:rsidR="00CB20C7" w:rsidRPr="00C35468" w:rsidSect="002F1CC9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2D00"/>
    <w:multiLevelType w:val="hybridMultilevel"/>
    <w:tmpl w:val="1A940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F9"/>
    <w:rsid w:val="000241A2"/>
    <w:rsid w:val="00071B3D"/>
    <w:rsid w:val="000A4321"/>
    <w:rsid w:val="000F5FFA"/>
    <w:rsid w:val="00171EB8"/>
    <w:rsid w:val="001D2BCA"/>
    <w:rsid w:val="00265A1F"/>
    <w:rsid w:val="002C336B"/>
    <w:rsid w:val="002C4B04"/>
    <w:rsid w:val="003D130E"/>
    <w:rsid w:val="00410629"/>
    <w:rsid w:val="00411FF9"/>
    <w:rsid w:val="004C6809"/>
    <w:rsid w:val="0052237B"/>
    <w:rsid w:val="00533BEB"/>
    <w:rsid w:val="005A2D31"/>
    <w:rsid w:val="005C5B1F"/>
    <w:rsid w:val="00624500"/>
    <w:rsid w:val="0069732C"/>
    <w:rsid w:val="006A3C67"/>
    <w:rsid w:val="006C252B"/>
    <w:rsid w:val="00727B02"/>
    <w:rsid w:val="00763D13"/>
    <w:rsid w:val="0079536A"/>
    <w:rsid w:val="00846B79"/>
    <w:rsid w:val="008C023E"/>
    <w:rsid w:val="008D1256"/>
    <w:rsid w:val="009C42DA"/>
    <w:rsid w:val="00A37F0B"/>
    <w:rsid w:val="00A554B8"/>
    <w:rsid w:val="00A75FF4"/>
    <w:rsid w:val="00AC036E"/>
    <w:rsid w:val="00B66E14"/>
    <w:rsid w:val="00BB1052"/>
    <w:rsid w:val="00BD6ADC"/>
    <w:rsid w:val="00C35468"/>
    <w:rsid w:val="00C53199"/>
    <w:rsid w:val="00C86D0B"/>
    <w:rsid w:val="00D203C2"/>
    <w:rsid w:val="00D941B0"/>
    <w:rsid w:val="00DE1862"/>
    <w:rsid w:val="00E62D12"/>
    <w:rsid w:val="00F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8BBC-C406-427A-B6BE-0592495F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1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11FF9"/>
    <w:rPr>
      <w:color w:val="0563C1" w:themeColor="hyperlink"/>
      <w:u w:val="single"/>
    </w:rPr>
  </w:style>
  <w:style w:type="paragraph" w:customStyle="1" w:styleId="Default">
    <w:name w:val="Default"/>
    <w:rsid w:val="00411FF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dst.dk/media/17886/god-adfaerd-i-det-offentlige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rbejdere.au.dk/administration/oekonomi/regnskab/" TargetMode="External"/><Relationship Id="rId5" Type="http://schemas.openxmlformats.org/officeDocument/2006/relationships/hyperlink" Target="https://www.fm.dk/publikationer/2015/budgetvejledning-20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2769</Characters>
  <Application>Microsoft Office Word</Application>
  <DocSecurity>4</DocSecurity>
  <Lines>76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Ravn Vilhelmsen</dc:creator>
  <cp:keywords/>
  <dc:description/>
  <cp:lastModifiedBy>Winnie Friis Johnsen</cp:lastModifiedBy>
  <cp:revision>2</cp:revision>
  <dcterms:created xsi:type="dcterms:W3CDTF">2019-12-17T14:38:00Z</dcterms:created>
  <dcterms:modified xsi:type="dcterms:W3CDTF">2019-12-17T14:38:00Z</dcterms:modified>
</cp:coreProperties>
</file>